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3A02" w14:textId="4CC0EFE2" w:rsidR="003B1639" w:rsidRPr="00AB46B8" w:rsidRDefault="00046C6A" w:rsidP="00F76676">
      <w:pPr>
        <w:pStyle w:val="Ttulo1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IDENTIFICAÇÃO</w:t>
      </w:r>
      <w:r w:rsidR="00F76676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DO RESPONDENTE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681"/>
        <w:gridCol w:w="6769"/>
      </w:tblGrid>
      <w:tr w:rsidR="00A410D5" w:rsidRPr="00AB46B8" w14:paraId="651D0F1B" w14:textId="77777777" w:rsidTr="00F76676">
        <w:tc>
          <w:tcPr>
            <w:tcW w:w="3681" w:type="dxa"/>
            <w:shd w:val="clear" w:color="auto" w:fill="D9D9D9" w:themeFill="background1" w:themeFillShade="D9"/>
          </w:tcPr>
          <w:p w14:paraId="126D74EA" w14:textId="7030ACB9" w:rsidR="00A410D5" w:rsidRPr="00AB46B8" w:rsidRDefault="00A410D5" w:rsidP="00046C6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Unidade:</w:t>
            </w:r>
          </w:p>
        </w:tc>
        <w:tc>
          <w:tcPr>
            <w:tcW w:w="6769" w:type="dxa"/>
          </w:tcPr>
          <w:p w14:paraId="0C2AE843" w14:textId="77777777" w:rsidR="00A410D5" w:rsidRPr="00AB46B8" w:rsidRDefault="00A410D5" w:rsidP="00046C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D5" w:rsidRPr="00AB46B8" w14:paraId="2C8379D4" w14:textId="77777777" w:rsidTr="00F76676">
        <w:tc>
          <w:tcPr>
            <w:tcW w:w="3681" w:type="dxa"/>
            <w:shd w:val="clear" w:color="auto" w:fill="D9D9D9" w:themeFill="background1" w:themeFillShade="D9"/>
          </w:tcPr>
          <w:p w14:paraId="26D96490" w14:textId="5DB81503" w:rsidR="00A410D5" w:rsidRPr="00AB46B8" w:rsidRDefault="00A410D5" w:rsidP="00046C6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Responsável pelo preenchimento: </w:t>
            </w:r>
          </w:p>
        </w:tc>
        <w:tc>
          <w:tcPr>
            <w:tcW w:w="6769" w:type="dxa"/>
          </w:tcPr>
          <w:p w14:paraId="7CF3B569" w14:textId="77777777" w:rsidR="00A410D5" w:rsidRPr="00AB46B8" w:rsidRDefault="00A410D5" w:rsidP="00046C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D5" w:rsidRPr="00AB46B8" w14:paraId="50047CCF" w14:textId="77777777" w:rsidTr="00F76676">
        <w:tc>
          <w:tcPr>
            <w:tcW w:w="3681" w:type="dxa"/>
            <w:shd w:val="clear" w:color="auto" w:fill="D9D9D9" w:themeFill="background1" w:themeFillShade="D9"/>
          </w:tcPr>
          <w:p w14:paraId="4AE57715" w14:textId="473B8322" w:rsidR="00A410D5" w:rsidRPr="00AB46B8" w:rsidRDefault="00A410D5" w:rsidP="00046C6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Ramal: </w:t>
            </w:r>
          </w:p>
        </w:tc>
        <w:tc>
          <w:tcPr>
            <w:tcW w:w="6769" w:type="dxa"/>
          </w:tcPr>
          <w:p w14:paraId="60163BE4" w14:textId="77777777" w:rsidR="00A410D5" w:rsidRPr="00AB46B8" w:rsidRDefault="00A410D5" w:rsidP="00046C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D5" w:rsidRPr="00AB46B8" w14:paraId="277045AC" w14:textId="77777777" w:rsidTr="00F76676">
        <w:tc>
          <w:tcPr>
            <w:tcW w:w="3681" w:type="dxa"/>
            <w:shd w:val="clear" w:color="auto" w:fill="D9D9D9" w:themeFill="background1" w:themeFillShade="D9"/>
          </w:tcPr>
          <w:p w14:paraId="0575AC68" w14:textId="499BF936" w:rsidR="00A410D5" w:rsidRPr="00AB46B8" w:rsidRDefault="00A410D5" w:rsidP="00046C6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Data: </w:t>
            </w:r>
          </w:p>
        </w:tc>
        <w:tc>
          <w:tcPr>
            <w:tcW w:w="6769" w:type="dxa"/>
          </w:tcPr>
          <w:p w14:paraId="0E63D85E" w14:textId="77777777" w:rsidR="00A410D5" w:rsidRPr="00AB46B8" w:rsidRDefault="00A410D5" w:rsidP="00046C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73D34" w14:textId="5CF8EF73" w:rsidR="00B60182" w:rsidRDefault="00B60182" w:rsidP="00B6018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</w:p>
    <w:p w14:paraId="5506E8FD" w14:textId="2ACC4A26" w:rsidR="00E72CF1" w:rsidRPr="00E72CF1" w:rsidRDefault="00E72CF1" w:rsidP="00E72CF1">
      <w:pPr>
        <w:pStyle w:val="Ttulo1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CF1">
        <w:rPr>
          <w:rFonts w:ascii="Times New Roman" w:hAnsi="Times New Roman" w:cs="Times New Roman"/>
          <w:b/>
          <w:bCs/>
          <w:sz w:val="24"/>
          <w:szCs w:val="24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60182" w14:paraId="69FED881" w14:textId="77777777" w:rsidTr="00B60182">
        <w:tc>
          <w:tcPr>
            <w:tcW w:w="10450" w:type="dxa"/>
          </w:tcPr>
          <w:p w14:paraId="23E5F2C9" w14:textId="3178DAA9" w:rsidR="00B60182" w:rsidRPr="000E2EE8" w:rsidRDefault="00B60182" w:rsidP="00B6018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</w:rPr>
            </w:pPr>
            <w:r w:rsidRPr="000E2EE8">
              <w:rPr>
                <w:bCs/>
              </w:rPr>
              <w:t xml:space="preserve">Este questionário visa identificar as ações de transformação digital em sua unidade para detalhamento do Plano de Transformação Digital do STJ. </w:t>
            </w:r>
            <w:r w:rsidR="00E72CF1">
              <w:rPr>
                <w:bCs/>
              </w:rPr>
              <w:t xml:space="preserve"> </w:t>
            </w:r>
            <w:r w:rsidRPr="000E2EE8">
              <w:rPr>
                <w:bCs/>
              </w:rPr>
              <w:t xml:space="preserve">Nos termos do art. 15, da Res. CNJ 370, O </w:t>
            </w:r>
            <w:r w:rsidRPr="000E2EE8">
              <w:rPr>
                <w:color w:val="212529"/>
              </w:rPr>
              <w:t>Plano de Transformação Digital conterá, no mínimo, as ações de:</w:t>
            </w:r>
          </w:p>
          <w:p w14:paraId="479FD9CB" w14:textId="77777777" w:rsidR="00B60182" w:rsidRPr="000E2EE8" w:rsidRDefault="00B60182" w:rsidP="00B60182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40"/>
              <w:jc w:val="both"/>
              <w:rPr>
                <w:color w:val="212529"/>
              </w:rPr>
            </w:pPr>
            <w:r w:rsidRPr="000E2EE8">
              <w:rPr>
                <w:color w:val="212529"/>
              </w:rPr>
              <w:t>I – Transformação digital de serviços;</w:t>
            </w:r>
          </w:p>
          <w:p w14:paraId="5A73133E" w14:textId="5A5D481F" w:rsidR="00B60182" w:rsidRPr="000E2EE8" w:rsidRDefault="00B60182" w:rsidP="00B60182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40"/>
              <w:jc w:val="both"/>
              <w:rPr>
                <w:color w:val="212529"/>
              </w:rPr>
            </w:pPr>
            <w:r w:rsidRPr="000E2EE8">
              <w:rPr>
                <w:color w:val="212529"/>
              </w:rPr>
              <w:t xml:space="preserve">II – </w:t>
            </w:r>
            <w:r w:rsidR="00E72CF1">
              <w:rPr>
                <w:color w:val="212529"/>
              </w:rPr>
              <w:t>i</w:t>
            </w:r>
            <w:r w:rsidRPr="000E2EE8">
              <w:rPr>
                <w:color w:val="212529"/>
              </w:rPr>
              <w:t>ntegração de canais digitais;</w:t>
            </w:r>
          </w:p>
          <w:p w14:paraId="0BB60AD7" w14:textId="6B961810" w:rsidR="00B60182" w:rsidRDefault="00B60182" w:rsidP="00B60182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40"/>
              <w:jc w:val="both"/>
              <w:rPr>
                <w:color w:val="212529"/>
              </w:rPr>
            </w:pPr>
            <w:r w:rsidRPr="000E2EE8">
              <w:rPr>
                <w:color w:val="212529"/>
              </w:rPr>
              <w:t xml:space="preserve">III – </w:t>
            </w:r>
            <w:r w:rsidR="00E72CF1">
              <w:rPr>
                <w:color w:val="212529"/>
              </w:rPr>
              <w:t>i</w:t>
            </w:r>
            <w:r w:rsidRPr="000E2EE8">
              <w:rPr>
                <w:color w:val="212529"/>
              </w:rPr>
              <w:t>nteroperabilidade de sistemas</w:t>
            </w:r>
            <w:r w:rsidR="00E72CF1">
              <w:rPr>
                <w:color w:val="212529"/>
              </w:rPr>
              <w:t>.</w:t>
            </w:r>
            <w:r w:rsidRPr="000E2EE8">
              <w:rPr>
                <w:color w:val="212529"/>
              </w:rPr>
              <w:t xml:space="preserve"> </w:t>
            </w:r>
          </w:p>
          <w:p w14:paraId="359D3CA9" w14:textId="19DFE11F" w:rsidR="00B60182" w:rsidRDefault="00B60182" w:rsidP="00B6018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Utilize o espaço que julgar necessário para relacionar e explicar suas </w:t>
            </w:r>
            <w:r w:rsidR="00ED7522">
              <w:rPr>
                <w:color w:val="212529"/>
              </w:rPr>
              <w:t>resposta</w:t>
            </w:r>
            <w:r>
              <w:rPr>
                <w:color w:val="212529"/>
              </w:rPr>
              <w:t>s</w:t>
            </w:r>
            <w:r w:rsidR="00E72CF1">
              <w:rPr>
                <w:color w:val="212529"/>
              </w:rPr>
              <w:t xml:space="preserve">. </w:t>
            </w:r>
            <w:bookmarkStart w:id="0" w:name="_GoBack"/>
            <w:bookmarkEnd w:id="0"/>
            <w:r>
              <w:rPr>
                <w:color w:val="212529"/>
              </w:rPr>
              <w:t xml:space="preserve">(Alguns exemplos foram formulados apenas para melhorar o entendimento </w:t>
            </w:r>
            <w:r w:rsidR="008A6CEC">
              <w:rPr>
                <w:color w:val="212529"/>
              </w:rPr>
              <w:t xml:space="preserve">da questão </w:t>
            </w:r>
            <w:r>
              <w:rPr>
                <w:color w:val="212529"/>
              </w:rPr>
              <w:t>e podem se referir a situações hipotéticas)</w:t>
            </w:r>
          </w:p>
          <w:p w14:paraId="51133C58" w14:textId="7D9BF789" w:rsidR="00B60182" w:rsidRPr="00E72CF1" w:rsidRDefault="00B60182" w:rsidP="008A6CEC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Contato para eventuais dúvidas: </w:t>
            </w:r>
            <w:r w:rsidR="008A6CEC">
              <w:rPr>
                <w:color w:val="212529"/>
              </w:rPr>
              <w:t>e</w:t>
            </w:r>
            <w:r w:rsidRPr="00B60182">
              <w:rPr>
                <w:color w:val="212529"/>
              </w:rPr>
              <w:t xml:space="preserve">-mail: </w:t>
            </w:r>
            <w:hyperlink r:id="rId8" w:history="1">
              <w:r w:rsidRPr="00911B19">
                <w:rPr>
                  <w:rStyle w:val="Hyperlink"/>
                </w:rPr>
                <w:t>gestaoestrategica@stj.jus.br</w:t>
              </w:r>
            </w:hyperlink>
            <w:r>
              <w:rPr>
                <w:color w:val="212529"/>
              </w:rPr>
              <w:t xml:space="preserve"> </w:t>
            </w:r>
            <w:r w:rsidRPr="00B60182">
              <w:rPr>
                <w:color w:val="212529"/>
              </w:rPr>
              <w:t>- Telefone: (61) 3319-8831</w:t>
            </w:r>
            <w:r w:rsidR="00E72CF1">
              <w:rPr>
                <w:color w:val="212529"/>
              </w:rPr>
              <w:t xml:space="preserve">. </w:t>
            </w:r>
          </w:p>
        </w:tc>
      </w:tr>
    </w:tbl>
    <w:p w14:paraId="546AAFD8" w14:textId="1927E53C" w:rsidR="00B60182" w:rsidRDefault="00B60182" w:rsidP="00B6018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</w:p>
    <w:p w14:paraId="2A91FBFA" w14:textId="77777777" w:rsidR="00E72CF1" w:rsidRDefault="00E72CF1" w:rsidP="00B6018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</w:p>
    <w:p w14:paraId="4780D8A4" w14:textId="3D7C5CBE" w:rsidR="00A410D5" w:rsidRDefault="00046C6A" w:rsidP="00F76676">
      <w:pPr>
        <w:pStyle w:val="Ttulo1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QUESTÕES</w:t>
      </w:r>
    </w:p>
    <w:p w14:paraId="66FEC455" w14:textId="77777777" w:rsidR="00E72CF1" w:rsidRPr="00E72CF1" w:rsidRDefault="00E72CF1" w:rsidP="00E72CF1"/>
    <w:p w14:paraId="60EB9641" w14:textId="7C0D18F9" w:rsidR="00FF3BF3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Questão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72CF1">
        <w:rPr>
          <w:rFonts w:ascii="Times New Roman" w:hAnsi="Times New Roman" w:cs="Times New Roman"/>
          <w:b/>
          <w:bCs/>
          <w:sz w:val="24"/>
          <w:szCs w:val="24"/>
        </w:rPr>
        <w:t>Em sua unidade, o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que pode ser digitizado</w:t>
      </w:r>
      <w:r w:rsidR="00046C6A" w:rsidRPr="00AB46B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C6A" w:rsidRPr="00AB46B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em armazenamento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/trâmite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em papel? </w:t>
      </w:r>
    </w:p>
    <w:p w14:paraId="1C878219" w14:textId="79C6AECA" w:rsidR="00FF3BF3" w:rsidRPr="00AB46B8" w:rsidRDefault="00FF3BF3" w:rsidP="002D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Observação: </w:t>
      </w:r>
      <w:r w:rsidRPr="00AB46B8">
        <w:rPr>
          <w:rFonts w:ascii="Times New Roman" w:hAnsi="Times New Roman" w:cs="Times New Roman"/>
          <w:sz w:val="24"/>
          <w:szCs w:val="24"/>
        </w:rPr>
        <w:t>“digitizado” é o termo utilizado pelo TCU para conversão do papel para meio digital.</w:t>
      </w:r>
      <w:r w:rsidR="00ED7522">
        <w:rPr>
          <w:rFonts w:ascii="Times New Roman" w:hAnsi="Times New Roman" w:cs="Times New Roman"/>
          <w:sz w:val="24"/>
          <w:szCs w:val="24"/>
        </w:rPr>
        <w:t xml:space="preserve"> </w:t>
      </w:r>
      <w:r w:rsidR="00ED7522" w:rsidRPr="00AB46B8">
        <w:rPr>
          <w:rFonts w:ascii="Times New Roman" w:hAnsi="Times New Roman" w:cs="Times New Roman"/>
          <w:sz w:val="24"/>
          <w:szCs w:val="24"/>
        </w:rPr>
        <w:t xml:space="preserve">Todos os documentos que tramitam em papel são candidatos à </w:t>
      </w:r>
      <w:proofErr w:type="spellStart"/>
      <w:r w:rsidR="00ED7522" w:rsidRPr="00AB46B8">
        <w:rPr>
          <w:rFonts w:ascii="Times New Roman" w:hAnsi="Times New Roman" w:cs="Times New Roman"/>
          <w:sz w:val="24"/>
          <w:szCs w:val="24"/>
        </w:rPr>
        <w:t>digitização</w:t>
      </w:r>
      <w:proofErr w:type="spellEnd"/>
      <w:r w:rsidR="00ED7522" w:rsidRPr="00AB46B8">
        <w:rPr>
          <w:rFonts w:ascii="Times New Roman" w:hAnsi="Times New Roman" w:cs="Times New Roman"/>
          <w:sz w:val="24"/>
          <w:szCs w:val="24"/>
        </w:rPr>
        <w:t xml:space="preserve"> e recebimento por canal digital. O descarte do original em papel deve ser verificado pela SED</w:t>
      </w:r>
      <w:r w:rsidR="00ED7522">
        <w:rPr>
          <w:rFonts w:ascii="Times New Roman" w:hAnsi="Times New Roman" w:cs="Times New Roman"/>
          <w:sz w:val="24"/>
          <w:szCs w:val="24"/>
        </w:rPr>
        <w:t>.</w:t>
      </w:r>
    </w:p>
    <w:p w14:paraId="1CEFBD3A" w14:textId="57DDB39B" w:rsidR="00767FC2" w:rsidRPr="00AB46B8" w:rsidRDefault="00767FC2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 w:rsidRPr="00AB46B8">
        <w:rPr>
          <w:rFonts w:ascii="Times New Roman" w:hAnsi="Times New Roman" w:cs="Times New Roman"/>
          <w:sz w:val="24"/>
          <w:szCs w:val="24"/>
        </w:rPr>
        <w:t xml:space="preserve"> </w:t>
      </w:r>
      <w:r w:rsidR="00ED7522">
        <w:rPr>
          <w:rFonts w:ascii="Times New Roman" w:hAnsi="Times New Roman" w:cs="Times New Roman"/>
          <w:sz w:val="24"/>
          <w:szCs w:val="24"/>
        </w:rPr>
        <w:t>D</w:t>
      </w:r>
      <w:r w:rsidRPr="00AB46B8">
        <w:rPr>
          <w:rFonts w:ascii="Times New Roman" w:hAnsi="Times New Roman" w:cs="Times New Roman"/>
          <w:sz w:val="24"/>
          <w:szCs w:val="24"/>
        </w:rPr>
        <w:t xml:space="preserve">ocumentos </w:t>
      </w:r>
      <w:r w:rsidR="00ED7522">
        <w:rPr>
          <w:rFonts w:ascii="Times New Roman" w:hAnsi="Times New Roman" w:cs="Times New Roman"/>
          <w:sz w:val="24"/>
          <w:szCs w:val="24"/>
        </w:rPr>
        <w:t xml:space="preserve">recebidos </w:t>
      </w:r>
      <w:r w:rsidRPr="00AB46B8">
        <w:rPr>
          <w:rFonts w:ascii="Times New Roman" w:hAnsi="Times New Roman" w:cs="Times New Roman"/>
          <w:sz w:val="24"/>
          <w:szCs w:val="24"/>
        </w:rPr>
        <w:t>via SEDEX.</w:t>
      </w:r>
      <w:r w:rsidR="001360F2" w:rsidRPr="00AB4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44CEB" w14:textId="7B7DD996" w:rsidR="00CB037A" w:rsidRPr="00AB46B8" w:rsidRDefault="00CB037A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Apoio para 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B46B8">
        <w:rPr>
          <w:rFonts w:ascii="Times New Roman" w:hAnsi="Times New Roman" w:cs="Times New Roman"/>
          <w:sz w:val="24"/>
          <w:szCs w:val="24"/>
        </w:rPr>
        <w:t>SJD, com agendamento.</w:t>
      </w:r>
    </w:p>
    <w:p w14:paraId="59AE78FD" w14:textId="2A3D91E4" w:rsidR="00A410D5" w:rsidRPr="00AB46B8" w:rsidRDefault="009D67C7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231E9A86" w14:textId="77777777" w:rsidTr="00E72CF1">
        <w:tc>
          <w:tcPr>
            <w:tcW w:w="10450" w:type="dxa"/>
          </w:tcPr>
          <w:p w14:paraId="66052F73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38BC8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716B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76A2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E56C" w14:textId="438381B1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3AD2" w14:textId="27C443C3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4F88" w14:textId="4FBFD704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A0A7" w14:textId="56BECC84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C369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9EF37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A9A3" w14:textId="059E0A33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C8279" w14:textId="368E8430" w:rsidR="00046C6A" w:rsidRPr="00AB46B8" w:rsidRDefault="00046C6A" w:rsidP="002D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4C159" w14:textId="66486593" w:rsidR="00FF3BF3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Questão 2 – </w:t>
      </w:r>
      <w:r w:rsidR="00046C6A" w:rsidRPr="00AB46B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que pode ser digitalizado</w:t>
      </w:r>
      <w:r w:rsidR="00A664D0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(automatizado)</w:t>
      </w:r>
      <w:r w:rsidR="00046C6A" w:rsidRPr="00AB46B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4D0" w:rsidRPr="00AB46B8">
        <w:rPr>
          <w:rFonts w:ascii="Times New Roman" w:hAnsi="Times New Roman" w:cs="Times New Roman"/>
          <w:b/>
          <w:bCs/>
          <w:sz w:val="24"/>
          <w:szCs w:val="24"/>
        </w:rPr>
        <w:t>Possui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processos de trabalho precisando </w:t>
      </w:r>
      <w:r w:rsidR="00046C6A" w:rsidRPr="00AB46B8">
        <w:rPr>
          <w:rFonts w:ascii="Times New Roman" w:hAnsi="Times New Roman" w:cs="Times New Roman"/>
          <w:b/>
          <w:bCs/>
          <w:sz w:val="24"/>
          <w:szCs w:val="24"/>
        </w:rPr>
        <w:t>de revisão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devido ao uso de tecnologia? </w:t>
      </w:r>
    </w:p>
    <w:p w14:paraId="6AE93B2C" w14:textId="2FC318BA" w:rsidR="00A664D0" w:rsidRPr="00AB46B8" w:rsidRDefault="00A664D0" w:rsidP="002D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Observação: </w:t>
      </w:r>
      <w:r w:rsidR="00767FC2" w:rsidRPr="00AB46B8">
        <w:rPr>
          <w:rFonts w:ascii="Times New Roman" w:hAnsi="Times New Roman" w:cs="Times New Roman"/>
          <w:sz w:val="24"/>
          <w:szCs w:val="24"/>
        </w:rPr>
        <w:t>“digitalizado” significa a transformação do processo de trabalho devido ao uso da tecnologia. Inclui automatizações.</w:t>
      </w:r>
    </w:p>
    <w:p w14:paraId="6A985229" w14:textId="7BEB4973" w:rsidR="00767FC2" w:rsidRPr="00AB46B8" w:rsidRDefault="00767FC2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46B8">
        <w:rPr>
          <w:rFonts w:ascii="Times New Roman" w:hAnsi="Times New Roman" w:cs="Times New Roman"/>
          <w:sz w:val="24"/>
          <w:szCs w:val="24"/>
        </w:rPr>
        <w:t xml:space="preserve"> </w:t>
      </w:r>
      <w:r w:rsidR="00ED7522">
        <w:rPr>
          <w:rFonts w:ascii="Times New Roman" w:hAnsi="Times New Roman" w:cs="Times New Roman"/>
          <w:sz w:val="24"/>
          <w:szCs w:val="24"/>
        </w:rPr>
        <w:t xml:space="preserve">1- </w:t>
      </w:r>
      <w:r w:rsidR="001360F2" w:rsidRPr="00AB46B8">
        <w:rPr>
          <w:rFonts w:ascii="Times New Roman" w:hAnsi="Times New Roman" w:cs="Times New Roman"/>
          <w:sz w:val="24"/>
          <w:szCs w:val="24"/>
        </w:rPr>
        <w:t xml:space="preserve">Documentos convertidos para digital, podem ter os processos de trabalho modernizados. </w:t>
      </w:r>
      <w:r w:rsidR="00ED7522">
        <w:rPr>
          <w:rFonts w:ascii="Times New Roman" w:hAnsi="Times New Roman" w:cs="Times New Roman"/>
          <w:sz w:val="24"/>
          <w:szCs w:val="24"/>
        </w:rPr>
        <w:t xml:space="preserve">2- </w:t>
      </w:r>
      <w:r w:rsidR="001360F2" w:rsidRPr="00AB46B8">
        <w:rPr>
          <w:rFonts w:ascii="Times New Roman" w:hAnsi="Times New Roman" w:cs="Times New Roman"/>
          <w:sz w:val="24"/>
          <w:szCs w:val="24"/>
        </w:rPr>
        <w:t xml:space="preserve">Nosso sistema processual é capaz de verificar a existência de </w:t>
      </w:r>
      <w:r w:rsidR="00ED7522">
        <w:rPr>
          <w:rFonts w:ascii="Times New Roman" w:hAnsi="Times New Roman" w:cs="Times New Roman"/>
          <w:sz w:val="24"/>
          <w:szCs w:val="24"/>
        </w:rPr>
        <w:t xml:space="preserve">determinadas </w:t>
      </w:r>
      <w:r w:rsidR="001360F2" w:rsidRPr="00AB46B8">
        <w:rPr>
          <w:rFonts w:ascii="Times New Roman" w:hAnsi="Times New Roman" w:cs="Times New Roman"/>
          <w:sz w:val="24"/>
          <w:szCs w:val="24"/>
        </w:rPr>
        <w:t>palavras em documentos e tomar decisões automatizadas.</w:t>
      </w:r>
      <w:r w:rsidRPr="00AB46B8">
        <w:rPr>
          <w:rFonts w:ascii="Times New Roman" w:hAnsi="Times New Roman" w:cs="Times New Roman"/>
          <w:sz w:val="24"/>
          <w:szCs w:val="24"/>
        </w:rPr>
        <w:t xml:space="preserve"> </w:t>
      </w:r>
      <w:r w:rsidR="00ED7522">
        <w:rPr>
          <w:rFonts w:ascii="Times New Roman" w:hAnsi="Times New Roman" w:cs="Times New Roman"/>
          <w:sz w:val="24"/>
          <w:szCs w:val="24"/>
        </w:rPr>
        <w:t xml:space="preserve">3- </w:t>
      </w:r>
      <w:r w:rsidRPr="00AB46B8">
        <w:rPr>
          <w:rFonts w:ascii="Times New Roman" w:hAnsi="Times New Roman" w:cs="Times New Roman"/>
          <w:sz w:val="24"/>
          <w:szCs w:val="24"/>
        </w:rPr>
        <w:t>Juntada automática de petições e encaminhamento à conclusão</w:t>
      </w:r>
      <w:r w:rsidR="00BB3479" w:rsidRPr="00AB46B8">
        <w:rPr>
          <w:rFonts w:ascii="Times New Roman" w:hAnsi="Times New Roman" w:cs="Times New Roman"/>
          <w:sz w:val="24"/>
          <w:szCs w:val="24"/>
        </w:rPr>
        <w:t xml:space="preserve"> ou ao cartório</w:t>
      </w:r>
      <w:r w:rsidRPr="00AB46B8">
        <w:rPr>
          <w:rFonts w:ascii="Times New Roman" w:hAnsi="Times New Roman" w:cs="Times New Roman"/>
          <w:sz w:val="24"/>
          <w:szCs w:val="24"/>
        </w:rPr>
        <w:t>.</w:t>
      </w:r>
    </w:p>
    <w:p w14:paraId="30D7E7EF" w14:textId="5B3BAE4D" w:rsidR="00A410D5" w:rsidRPr="00AB46B8" w:rsidRDefault="00CB037A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Apoio para 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410D5" w:rsidRPr="00AB46B8">
        <w:rPr>
          <w:rFonts w:ascii="Times New Roman" w:hAnsi="Times New Roman" w:cs="Times New Roman"/>
          <w:sz w:val="24"/>
          <w:szCs w:val="24"/>
        </w:rPr>
        <w:t>SGE</w:t>
      </w:r>
    </w:p>
    <w:p w14:paraId="74DC8851" w14:textId="692F8188" w:rsidR="00767FC2" w:rsidRPr="00AB46B8" w:rsidRDefault="00767FC2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4FFD1E28" w14:textId="77777777" w:rsidTr="00E72CF1">
        <w:tc>
          <w:tcPr>
            <w:tcW w:w="10450" w:type="dxa"/>
          </w:tcPr>
          <w:p w14:paraId="4E221A72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C83CE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BF956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67C4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F3F3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1704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D557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1150" w14:textId="77777777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2E0B" w14:textId="1D935CA6" w:rsidR="00E72CF1" w:rsidRDefault="00E72CF1" w:rsidP="002D1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932455" w14:textId="77777777" w:rsidR="00AB46B8" w:rsidRDefault="00AB46B8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600C0" w14:textId="435BE5FE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Questão 3 –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Quais</w:t>
      </w:r>
      <w:r w:rsidR="00A664D0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são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os c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ana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is de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comunicação com público externo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DC32E" w14:textId="07DDAD1C" w:rsidR="00CB037A" w:rsidRPr="00AB46B8" w:rsidRDefault="00A664D0" w:rsidP="002D1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CB037A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37A" w:rsidRPr="00AB46B8">
        <w:rPr>
          <w:rFonts w:ascii="Times New Roman" w:hAnsi="Times New Roman" w:cs="Times New Roman"/>
          <w:sz w:val="24"/>
          <w:szCs w:val="24"/>
        </w:rPr>
        <w:t xml:space="preserve">canais de comunicação são pontos de contato do público com </w:t>
      </w:r>
      <w:r w:rsidR="001360F2" w:rsidRPr="00AB46B8">
        <w:rPr>
          <w:rFonts w:ascii="Times New Roman" w:hAnsi="Times New Roman" w:cs="Times New Roman"/>
          <w:sz w:val="24"/>
          <w:szCs w:val="24"/>
        </w:rPr>
        <w:t>o</w:t>
      </w:r>
      <w:r w:rsidR="00CB037A" w:rsidRPr="00AB46B8">
        <w:rPr>
          <w:rFonts w:ascii="Times New Roman" w:hAnsi="Times New Roman" w:cs="Times New Roman"/>
          <w:sz w:val="24"/>
          <w:szCs w:val="24"/>
        </w:rPr>
        <w:t xml:space="preserve"> seu produto ou serviço.</w:t>
      </w:r>
    </w:p>
    <w:p w14:paraId="0B4E4C28" w14:textId="47E0DCA7" w:rsidR="00A664D0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 w:rsidR="00CB037A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0F2" w:rsidRPr="00AB46B8">
        <w:rPr>
          <w:rFonts w:ascii="Times New Roman" w:hAnsi="Times New Roman" w:cs="Times New Roman"/>
          <w:bCs/>
          <w:sz w:val="24"/>
          <w:szCs w:val="24"/>
        </w:rPr>
        <w:t>Telefone,</w:t>
      </w:r>
      <w:r w:rsidR="001360F2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0F2" w:rsidRPr="00AB46B8">
        <w:rPr>
          <w:rFonts w:ascii="Times New Roman" w:hAnsi="Times New Roman" w:cs="Times New Roman"/>
          <w:sz w:val="24"/>
          <w:szCs w:val="24"/>
        </w:rPr>
        <w:t>e</w:t>
      </w:r>
      <w:r w:rsidR="00CB037A" w:rsidRPr="00AB46B8">
        <w:rPr>
          <w:rFonts w:ascii="Times New Roman" w:hAnsi="Times New Roman" w:cs="Times New Roman"/>
          <w:sz w:val="24"/>
          <w:szCs w:val="24"/>
        </w:rPr>
        <w:t>-mail</w:t>
      </w:r>
      <w:r w:rsidR="001360F2" w:rsidRPr="00AB46B8">
        <w:rPr>
          <w:rFonts w:ascii="Times New Roman" w:hAnsi="Times New Roman" w:cs="Times New Roman"/>
          <w:sz w:val="24"/>
          <w:szCs w:val="24"/>
        </w:rPr>
        <w:t>,</w:t>
      </w:r>
      <w:r w:rsidR="00CB037A" w:rsidRPr="00AB46B8">
        <w:rPr>
          <w:rFonts w:ascii="Times New Roman" w:hAnsi="Times New Roman" w:cs="Times New Roman"/>
          <w:sz w:val="24"/>
          <w:szCs w:val="24"/>
        </w:rPr>
        <w:t xml:space="preserve"> Chat</w:t>
      </w:r>
      <w:r w:rsidR="001360F2" w:rsidRPr="00AB46B8">
        <w:rPr>
          <w:rFonts w:ascii="Times New Roman" w:hAnsi="Times New Roman" w:cs="Times New Roman"/>
          <w:sz w:val="24"/>
          <w:szCs w:val="24"/>
        </w:rPr>
        <w:t>,</w:t>
      </w:r>
      <w:r w:rsidR="00CB037A" w:rsidRPr="00AB46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37A" w:rsidRPr="00AB46B8">
        <w:rPr>
          <w:rFonts w:ascii="Times New Roman" w:hAnsi="Times New Roman" w:cs="Times New Roman"/>
          <w:sz w:val="24"/>
          <w:szCs w:val="24"/>
        </w:rPr>
        <w:t>Videoconferência</w:t>
      </w:r>
      <w:r w:rsidR="001360F2" w:rsidRPr="00AB46B8">
        <w:rPr>
          <w:rFonts w:ascii="Times New Roman" w:hAnsi="Times New Roman" w:cs="Times New Roman"/>
          <w:sz w:val="24"/>
          <w:szCs w:val="24"/>
        </w:rPr>
        <w:t xml:space="preserve">, </w:t>
      </w:r>
      <w:r w:rsidR="00CB037A" w:rsidRPr="00AB46B8">
        <w:rPr>
          <w:rFonts w:ascii="Times New Roman" w:hAnsi="Times New Roman" w:cs="Times New Roman"/>
          <w:sz w:val="24"/>
          <w:szCs w:val="24"/>
        </w:rPr>
        <w:t xml:space="preserve"> Portal</w:t>
      </w:r>
      <w:proofErr w:type="gramEnd"/>
      <w:r w:rsidR="001360F2" w:rsidRPr="00AB46B8">
        <w:rPr>
          <w:rFonts w:ascii="Times New Roman" w:hAnsi="Times New Roman" w:cs="Times New Roman"/>
          <w:sz w:val="24"/>
          <w:szCs w:val="24"/>
        </w:rPr>
        <w:t xml:space="preserve">, </w:t>
      </w:r>
      <w:r w:rsidR="00CB037A" w:rsidRPr="00AB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3FD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="008E13FD">
        <w:rPr>
          <w:rFonts w:ascii="Times New Roman" w:hAnsi="Times New Roman" w:cs="Times New Roman"/>
          <w:sz w:val="24"/>
          <w:szCs w:val="24"/>
        </w:rPr>
        <w:t>, Ouvidoria.</w:t>
      </w:r>
    </w:p>
    <w:p w14:paraId="6F77A124" w14:textId="5272F57F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3B25074C" w14:textId="77777777" w:rsidTr="00190974">
        <w:tc>
          <w:tcPr>
            <w:tcW w:w="10450" w:type="dxa"/>
          </w:tcPr>
          <w:p w14:paraId="11A063E4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4DBAC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C3805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C5D4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F75C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57BF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2ED43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09F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2944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5B02D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2722E" w14:textId="77777777" w:rsidR="00CB037A" w:rsidRPr="00AB46B8" w:rsidRDefault="00CB037A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A9F3A" w14:textId="7AF70186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Questão 4 –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Quais serviços são presenciais? </w:t>
      </w:r>
    </w:p>
    <w:p w14:paraId="38699647" w14:textId="0247F33A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CB037A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0F2" w:rsidRPr="00AB46B8">
        <w:rPr>
          <w:rFonts w:ascii="Times New Roman" w:hAnsi="Times New Roman" w:cs="Times New Roman"/>
          <w:bCs/>
          <w:sz w:val="24"/>
          <w:szCs w:val="24"/>
        </w:rPr>
        <w:t>O usuário deve comparecer a sua unidade para algum serviço?</w:t>
      </w:r>
      <w:r w:rsidR="001360F2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br/>
        <w:t>Exemplo:</w:t>
      </w:r>
      <w:r w:rsidR="00CB037A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0F2" w:rsidRPr="00AB46B8">
        <w:rPr>
          <w:rFonts w:ascii="Times New Roman" w:hAnsi="Times New Roman" w:cs="Times New Roman"/>
          <w:sz w:val="24"/>
          <w:szCs w:val="24"/>
        </w:rPr>
        <w:t>A</w:t>
      </w:r>
      <w:r w:rsidR="005A37AB" w:rsidRPr="00AB46B8">
        <w:rPr>
          <w:rFonts w:ascii="Times New Roman" w:hAnsi="Times New Roman" w:cs="Times New Roman"/>
          <w:sz w:val="24"/>
          <w:szCs w:val="24"/>
        </w:rPr>
        <w:t>tendimento ao advogado.</w:t>
      </w:r>
    </w:p>
    <w:p w14:paraId="07945F5B" w14:textId="1AE8391C" w:rsidR="00E72CF1" w:rsidRPr="00AB46B8" w:rsidRDefault="00BB3479" w:rsidP="00E7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2773ED62" w14:textId="77777777" w:rsidTr="00190974">
        <w:tc>
          <w:tcPr>
            <w:tcW w:w="10450" w:type="dxa"/>
          </w:tcPr>
          <w:p w14:paraId="621AD197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7C27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A609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4DC9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D970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E4C42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04266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03102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1C1B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69D92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AD257" w14:textId="623DF08A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Questão 5 –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Quais se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viços são semipresenciais? (exigem a presença física em algum momento do trâmite)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766E41B3" w14:textId="19282766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1360F2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0F2" w:rsidRPr="00AB46B8">
        <w:rPr>
          <w:rFonts w:ascii="Times New Roman" w:hAnsi="Times New Roman" w:cs="Times New Roman"/>
          <w:bCs/>
          <w:sz w:val="24"/>
          <w:szCs w:val="24"/>
        </w:rPr>
        <w:t xml:space="preserve">O usuário deve comparecer a sua unidade para iniciar </w:t>
      </w:r>
      <w:r w:rsidR="00D44E6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1360F2" w:rsidRPr="00AB46B8">
        <w:rPr>
          <w:rFonts w:ascii="Times New Roman" w:hAnsi="Times New Roman" w:cs="Times New Roman"/>
          <w:bCs/>
          <w:sz w:val="24"/>
          <w:szCs w:val="24"/>
        </w:rPr>
        <w:t>serviço, ou para assinar documentos?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br/>
        <w:t>Exemplo</w:t>
      </w:r>
      <w:r w:rsidRPr="00AB46B8">
        <w:rPr>
          <w:rFonts w:ascii="Times New Roman" w:hAnsi="Times New Roman" w:cs="Times New Roman"/>
          <w:bCs/>
          <w:sz w:val="24"/>
          <w:szCs w:val="24"/>
        </w:rPr>
        <w:t>:</w:t>
      </w:r>
      <w:r w:rsidR="005A37AB" w:rsidRPr="00AB4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E6E">
        <w:rPr>
          <w:rFonts w:ascii="Times New Roman" w:hAnsi="Times New Roman" w:cs="Times New Roman"/>
          <w:bCs/>
          <w:sz w:val="24"/>
          <w:szCs w:val="24"/>
        </w:rPr>
        <w:t xml:space="preserve">1- </w:t>
      </w:r>
      <w:r w:rsidR="001360F2" w:rsidRPr="00AB46B8">
        <w:rPr>
          <w:rFonts w:ascii="Times New Roman" w:hAnsi="Times New Roman" w:cs="Times New Roman"/>
          <w:bCs/>
          <w:sz w:val="24"/>
          <w:szCs w:val="24"/>
        </w:rPr>
        <w:t xml:space="preserve">Entrega de documentação em processos administrativos, </w:t>
      </w:r>
      <w:r w:rsidR="00D44E6E">
        <w:rPr>
          <w:rFonts w:ascii="Times New Roman" w:hAnsi="Times New Roman" w:cs="Times New Roman"/>
          <w:bCs/>
          <w:sz w:val="24"/>
          <w:szCs w:val="24"/>
        </w:rPr>
        <w:t>2- E</w:t>
      </w:r>
      <w:r w:rsidR="001360F2" w:rsidRPr="00AB46B8">
        <w:rPr>
          <w:rFonts w:ascii="Times New Roman" w:hAnsi="Times New Roman" w:cs="Times New Roman"/>
          <w:bCs/>
          <w:sz w:val="24"/>
          <w:szCs w:val="24"/>
        </w:rPr>
        <w:t xml:space="preserve">nvio de documentos por </w:t>
      </w:r>
      <w:r w:rsidR="002D14B7" w:rsidRPr="00AB46B8">
        <w:rPr>
          <w:rFonts w:ascii="Times New Roman" w:hAnsi="Times New Roman" w:cs="Times New Roman"/>
          <w:bCs/>
          <w:sz w:val="24"/>
          <w:szCs w:val="24"/>
        </w:rPr>
        <w:t>SEDEX</w:t>
      </w:r>
      <w:r w:rsidR="001360F2" w:rsidRPr="00AB46B8">
        <w:rPr>
          <w:rFonts w:ascii="Times New Roman" w:hAnsi="Times New Roman" w:cs="Times New Roman"/>
          <w:bCs/>
          <w:sz w:val="24"/>
          <w:szCs w:val="24"/>
        </w:rPr>
        <w:t>, que serão digitizados e tramitarão em meio digital</w:t>
      </w:r>
    </w:p>
    <w:p w14:paraId="42DD9FA6" w14:textId="0F373B5F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152018B3" w14:textId="77777777" w:rsidTr="00190974">
        <w:tc>
          <w:tcPr>
            <w:tcW w:w="10450" w:type="dxa"/>
          </w:tcPr>
          <w:p w14:paraId="18D952A1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B4F7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256B4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4EB3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177AC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8ECA3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D2F3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B94C8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BB0F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05463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9FDD0" w14:textId="2C49DEBF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Questão 6 –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Quais serviços exigem trâmite de documentos físicos? </w:t>
      </w:r>
    </w:p>
    <w:p w14:paraId="151A8EC3" w14:textId="1A83EDB1" w:rsidR="00E72CF1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1360F2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>Algum</w:t>
      </w:r>
      <w:r w:rsidR="00D44E6E">
        <w:rPr>
          <w:rFonts w:ascii="Times New Roman" w:hAnsi="Times New Roman" w:cs="Times New Roman"/>
          <w:bCs/>
          <w:sz w:val="24"/>
          <w:szCs w:val="24"/>
        </w:rPr>
        <w:t>as unidades ainda recebem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 xml:space="preserve"> documentos em papel e encaminham</w:t>
      </w:r>
      <w:r w:rsidR="00D44E6E">
        <w:rPr>
          <w:rFonts w:ascii="Times New Roman" w:hAnsi="Times New Roman" w:cs="Times New Roman"/>
          <w:bCs/>
          <w:sz w:val="24"/>
          <w:szCs w:val="24"/>
        </w:rPr>
        <w:t xml:space="preserve"> fisicamente para outras unidades</w:t>
      </w:r>
    </w:p>
    <w:p w14:paraId="4B426B9C" w14:textId="557A0600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 w:rsidR="00FF26EC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 xml:space="preserve">Recebimento de traduções </w:t>
      </w:r>
      <w:r w:rsidR="00D44E6E">
        <w:rPr>
          <w:rFonts w:ascii="Times New Roman" w:hAnsi="Times New Roman" w:cs="Times New Roman"/>
          <w:bCs/>
          <w:sz w:val="24"/>
          <w:szCs w:val="24"/>
        </w:rPr>
        <w:t xml:space="preserve">juramentadas 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>e encaminhamento para a unidade solicitante</w:t>
      </w:r>
      <w:r w:rsidR="00E72C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AB5582" w14:textId="32DD5083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0D90DF62" w14:textId="77777777" w:rsidTr="00190974">
        <w:tc>
          <w:tcPr>
            <w:tcW w:w="10450" w:type="dxa"/>
          </w:tcPr>
          <w:p w14:paraId="421AA53C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1B755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E4C2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EDF1C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1FF2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05A8A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0884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AC7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AE6B0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66661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6E341" w14:textId="4A41A474" w:rsidR="00D90489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Questão 7 –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Utiliza quais canais analógicos? (telefone, telegrama, </w:t>
      </w:r>
      <w:r w:rsidR="00941CF9" w:rsidRPr="00AB46B8">
        <w:rPr>
          <w:rFonts w:ascii="Times New Roman" w:hAnsi="Times New Roman" w:cs="Times New Roman"/>
          <w:b/>
          <w:bCs/>
          <w:sz w:val="24"/>
          <w:szCs w:val="24"/>
        </w:rPr>
        <w:t>SEDEX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, e outros)</w:t>
      </w:r>
    </w:p>
    <w:p w14:paraId="1E8D1E24" w14:textId="04B96D4C" w:rsidR="00E72CF1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FF26EC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>os canais analógicos podem continuar como alternativa aos canais digitais, que devem ser utilizados preferencialmente</w:t>
      </w:r>
      <w:r w:rsidR="00E72CF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DFC45E1" w14:textId="7A4D9370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</w:t>
      </w:r>
      <w:r w:rsidRPr="00AB46B8">
        <w:rPr>
          <w:rFonts w:ascii="Times New Roman" w:hAnsi="Times New Roman" w:cs="Times New Roman"/>
          <w:bCs/>
          <w:sz w:val="24"/>
          <w:szCs w:val="24"/>
        </w:rPr>
        <w:t>: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E6E">
        <w:rPr>
          <w:rFonts w:ascii="Times New Roman" w:hAnsi="Times New Roman" w:cs="Times New Roman"/>
          <w:bCs/>
          <w:sz w:val="24"/>
          <w:szCs w:val="24"/>
        </w:rPr>
        <w:t>Alguns g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>abinete</w:t>
      </w:r>
      <w:r w:rsidR="00D44E6E">
        <w:rPr>
          <w:rFonts w:ascii="Times New Roman" w:hAnsi="Times New Roman" w:cs="Times New Roman"/>
          <w:bCs/>
          <w:sz w:val="24"/>
          <w:szCs w:val="24"/>
        </w:rPr>
        <w:t>s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 xml:space="preserve"> só atende</w:t>
      </w:r>
      <w:r w:rsidR="00D44E6E">
        <w:rPr>
          <w:rFonts w:ascii="Times New Roman" w:hAnsi="Times New Roman" w:cs="Times New Roman"/>
          <w:bCs/>
          <w:sz w:val="24"/>
          <w:szCs w:val="24"/>
        </w:rPr>
        <w:t>m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 xml:space="preserve"> por telefone</w:t>
      </w:r>
      <w:r w:rsidR="00D44E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7DD427" w14:textId="4AE6194E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7A24AF5B" w14:textId="77777777" w:rsidTr="00190974">
        <w:tc>
          <w:tcPr>
            <w:tcW w:w="10450" w:type="dxa"/>
          </w:tcPr>
          <w:p w14:paraId="2704EC8C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38BD5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1D1B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16D86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A0EA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13F4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61E0E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BB197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A1530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8B1AB" w14:textId="54880023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825C6" w14:textId="4E96F44B" w:rsidR="00E72CF1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6D071" w14:textId="77777777" w:rsidR="00E72CF1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37E7A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DD5AF" w14:textId="0D1E25C7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Questão 8 –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sistema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interage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, ou pode</w:t>
      </w:r>
      <w:r w:rsidR="00D44E6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interagir com outro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 que forma? </w:t>
      </w:r>
    </w:p>
    <w:p w14:paraId="0A40ACB8" w14:textId="26C582D4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FF26EC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 xml:space="preserve">Unidade lê os dados em um sistema e digita em outro. </w:t>
      </w:r>
      <w:r w:rsidRPr="00AB46B8">
        <w:rPr>
          <w:rFonts w:ascii="Times New Roman" w:hAnsi="Times New Roman" w:cs="Times New Roman"/>
          <w:bCs/>
          <w:sz w:val="24"/>
          <w:szCs w:val="24"/>
        </w:rPr>
        <w:br/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26EC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CE3" w:rsidRPr="00FC1CE3">
        <w:rPr>
          <w:rFonts w:ascii="Times New Roman" w:hAnsi="Times New Roman" w:cs="Times New Roman"/>
          <w:bCs/>
          <w:sz w:val="24"/>
          <w:szCs w:val="24"/>
        </w:rPr>
        <w:t>1-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 xml:space="preserve">As comunicações judiciais geradas em nosso sistema devem ser redigitadas no malote digital do 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 xml:space="preserve">CNJ. </w:t>
      </w:r>
      <w:r w:rsidR="00FC1CE3">
        <w:rPr>
          <w:rFonts w:ascii="Times New Roman" w:hAnsi="Times New Roman" w:cs="Times New Roman"/>
          <w:bCs/>
          <w:sz w:val="24"/>
          <w:szCs w:val="24"/>
        </w:rPr>
        <w:t xml:space="preserve">2- 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 xml:space="preserve">A atualização das certidões dos servidores poderia </w:t>
      </w:r>
      <w:r w:rsidR="00FC1CE3">
        <w:rPr>
          <w:rFonts w:ascii="Times New Roman" w:hAnsi="Times New Roman" w:cs="Times New Roman"/>
          <w:bCs/>
          <w:sz w:val="24"/>
          <w:szCs w:val="24"/>
        </w:rPr>
        <w:t>ser obtida de forma automática.</w:t>
      </w:r>
    </w:p>
    <w:p w14:paraId="1465A401" w14:textId="708F30E0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62BE9568" w14:textId="77777777" w:rsidTr="00190974">
        <w:tc>
          <w:tcPr>
            <w:tcW w:w="10450" w:type="dxa"/>
          </w:tcPr>
          <w:p w14:paraId="0F640D4A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98B7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6D3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C7EF2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F630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54F8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9D82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E8840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DB31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68FE0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698E7" w14:textId="72682B26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Questão 9 –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Quais s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istemas internos poderia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acessar diretamente? </w:t>
      </w:r>
    </w:p>
    <w:p w14:paraId="1A518093" w14:textId="78B6614A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FF26EC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 xml:space="preserve">unidade pede comprovação de </w:t>
      </w:r>
      <w:r w:rsidR="00FC1CE3">
        <w:rPr>
          <w:rFonts w:ascii="Times New Roman" w:hAnsi="Times New Roman" w:cs="Times New Roman"/>
          <w:bCs/>
          <w:sz w:val="24"/>
          <w:szCs w:val="24"/>
        </w:rPr>
        <w:t>atos</w:t>
      </w:r>
      <w:r w:rsidR="00FF26EC" w:rsidRPr="00AB46B8">
        <w:rPr>
          <w:rFonts w:ascii="Times New Roman" w:hAnsi="Times New Roman" w:cs="Times New Roman"/>
          <w:bCs/>
          <w:sz w:val="24"/>
          <w:szCs w:val="24"/>
        </w:rPr>
        <w:t xml:space="preserve"> que estão registrados em outra unidade do próprio tribunal.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br/>
        <w:t>Exemplo:</w:t>
      </w:r>
      <w:r w:rsidR="005A37A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22D">
        <w:rPr>
          <w:rFonts w:ascii="Times New Roman" w:hAnsi="Times New Roman" w:cs="Times New Roman"/>
          <w:bCs/>
          <w:sz w:val="24"/>
          <w:szCs w:val="24"/>
        </w:rPr>
        <w:t>C</w:t>
      </w:r>
      <w:r w:rsidR="0093522D" w:rsidRPr="0093522D">
        <w:rPr>
          <w:rFonts w:ascii="Times New Roman" w:hAnsi="Times New Roman" w:cs="Times New Roman"/>
          <w:bCs/>
          <w:sz w:val="24"/>
          <w:szCs w:val="24"/>
        </w:rPr>
        <w:t xml:space="preserve">asos em que o </w:t>
      </w:r>
      <w:r w:rsidR="00F83F70" w:rsidRPr="0093522D">
        <w:rPr>
          <w:rFonts w:ascii="Times New Roman" w:hAnsi="Times New Roman" w:cs="Times New Roman"/>
          <w:bCs/>
          <w:sz w:val="24"/>
          <w:szCs w:val="24"/>
        </w:rPr>
        <w:t>servidor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 xml:space="preserve"> tem que comprovar </w:t>
      </w:r>
      <w:r w:rsidR="0093522D">
        <w:rPr>
          <w:rFonts w:ascii="Times New Roman" w:hAnsi="Times New Roman" w:cs="Times New Roman"/>
          <w:bCs/>
          <w:sz w:val="24"/>
          <w:szCs w:val="24"/>
        </w:rPr>
        <w:t xml:space="preserve">habilidades 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 xml:space="preserve">que estão </w:t>
      </w:r>
      <w:r w:rsidR="0093522D">
        <w:rPr>
          <w:rFonts w:ascii="Times New Roman" w:hAnsi="Times New Roman" w:cs="Times New Roman"/>
          <w:bCs/>
          <w:sz w:val="24"/>
          <w:szCs w:val="24"/>
        </w:rPr>
        <w:t xml:space="preserve">registradas 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 xml:space="preserve">em outro sistema do </w:t>
      </w:r>
      <w:r w:rsidR="0093522D">
        <w:rPr>
          <w:rFonts w:ascii="Times New Roman" w:hAnsi="Times New Roman" w:cs="Times New Roman"/>
          <w:bCs/>
          <w:sz w:val="24"/>
          <w:szCs w:val="24"/>
        </w:rPr>
        <w:t xml:space="preserve">próprio 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>tribunal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07EE58" w14:textId="4953F4D3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14D4CF82" w14:textId="77777777" w:rsidTr="00190974">
        <w:tc>
          <w:tcPr>
            <w:tcW w:w="10450" w:type="dxa"/>
          </w:tcPr>
          <w:p w14:paraId="5604D21A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211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C1E11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456C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1282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C9A4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445D6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F17E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85293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97CAD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C0E5F" w14:textId="703793AE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Questão 10 –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Quais s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istemas externos poderia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 xml:space="preserve">ser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acessa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>dos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diretamente? </w:t>
      </w:r>
    </w:p>
    <w:p w14:paraId="57D39175" w14:textId="1AE72163" w:rsidR="00F83F70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F83F70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>o servidor da unidade t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>e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>m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>que co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>nsultar sistemas de outros órgã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>o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>s</w:t>
      </w:r>
      <w:r w:rsidR="00F83F70" w:rsidRPr="00AB46B8">
        <w:rPr>
          <w:rFonts w:ascii="Times New Roman" w:hAnsi="Times New Roman" w:cs="Times New Roman"/>
          <w:bCs/>
          <w:sz w:val="24"/>
          <w:szCs w:val="24"/>
        </w:rPr>
        <w:t xml:space="preserve"> e efetuar lançament</w:t>
      </w:r>
      <w:r w:rsidR="00FC1CE3">
        <w:rPr>
          <w:rFonts w:ascii="Times New Roman" w:hAnsi="Times New Roman" w:cs="Times New Roman"/>
          <w:bCs/>
          <w:sz w:val="24"/>
          <w:szCs w:val="24"/>
        </w:rPr>
        <w:t>os nos sistemas internos do STJ.</w:t>
      </w:r>
    </w:p>
    <w:p w14:paraId="4C4FAB7E" w14:textId="22AD6D77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FC1CE3">
        <w:rPr>
          <w:rFonts w:ascii="Times New Roman" w:hAnsi="Times New Roman" w:cs="Times New Roman"/>
          <w:bCs/>
          <w:sz w:val="24"/>
          <w:szCs w:val="24"/>
        </w:rPr>
        <w:t xml:space="preserve">leitura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de processos </w:t>
      </w:r>
      <w:r w:rsidR="00FC1CE3">
        <w:rPr>
          <w:rFonts w:ascii="Times New Roman" w:hAnsi="Times New Roman" w:cs="Times New Roman"/>
          <w:bCs/>
          <w:sz w:val="24"/>
          <w:szCs w:val="24"/>
        </w:rPr>
        <w:t xml:space="preserve">judiciais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em sistemas dos tribunais de origem, alguns servidores são cadastrados e acessam o sistema da origem com suas senhas pessoais. </w:t>
      </w:r>
    </w:p>
    <w:p w14:paraId="7A6D9F65" w14:textId="303F6743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6F576895" w14:textId="77777777" w:rsidTr="00190974">
        <w:tc>
          <w:tcPr>
            <w:tcW w:w="10450" w:type="dxa"/>
          </w:tcPr>
          <w:p w14:paraId="1AC50FD8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D8D1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B5B7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AEF6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0A6E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E97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3DD9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974B8" w14:textId="4A3FF41D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E24A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63DF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3FEAA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9FC7" w14:textId="5B3D8ADB" w:rsidR="00E72CF1" w:rsidRDefault="00E72CF1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4CD2C" w14:textId="77777777" w:rsidR="00E72CF1" w:rsidRDefault="00E72CF1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073CF" w14:textId="728C299F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Questão 11 –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Quais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demandas em andamento na STI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podem ser a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dequa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das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 xml:space="preserve"> para o P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7CDBBB26" w14:textId="15E77959" w:rsidR="00E72CF1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630">
        <w:rPr>
          <w:rFonts w:ascii="Times New Roman" w:hAnsi="Times New Roman" w:cs="Times New Roman"/>
          <w:bCs/>
          <w:sz w:val="24"/>
          <w:szCs w:val="24"/>
        </w:rPr>
        <w:t>Listar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 as demandas da unidade já cadastradas na STI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A88ECA3" w14:textId="29AC3182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>pedido de desenvolvimento de sistema de cálculos judiciais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AA38B5" w14:textId="617CCFFA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3791108B" w14:textId="77777777" w:rsidTr="00190974">
        <w:tc>
          <w:tcPr>
            <w:tcW w:w="10450" w:type="dxa"/>
          </w:tcPr>
          <w:p w14:paraId="41C182D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3BB7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B6BE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7A02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502E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9CA0F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950A7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80124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A043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4750B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F8A8F" w14:textId="32E4379A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Questão 12 –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Há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necessidade de adequação de normativos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1A4D82" w14:textId="0625C076" w:rsidR="00E72CF1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>Para se alterar canais de comunicação, ou se dispensar a apresentação de documentos originais</w:t>
      </w:r>
      <w:r w:rsidR="00FC1CE3">
        <w:rPr>
          <w:rFonts w:ascii="Times New Roman" w:hAnsi="Times New Roman" w:cs="Times New Roman"/>
          <w:bCs/>
          <w:sz w:val="24"/>
          <w:szCs w:val="24"/>
        </w:rPr>
        <w:t>,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 pode ser necessário adequar normativos. Relacionar.</w:t>
      </w:r>
    </w:p>
    <w:p w14:paraId="5D4E3D36" w14:textId="3A7C08F4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CE3">
        <w:rPr>
          <w:rFonts w:ascii="Times New Roman" w:hAnsi="Times New Roman" w:cs="Times New Roman"/>
          <w:bCs/>
          <w:sz w:val="24"/>
          <w:szCs w:val="24"/>
        </w:rPr>
        <w:t>envio de tradução juramentada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 com selo de autenticidade tem norma</w:t>
      </w:r>
      <w:r w:rsidR="00FC1CE3">
        <w:rPr>
          <w:rFonts w:ascii="Times New Roman" w:hAnsi="Times New Roman" w:cs="Times New Roman"/>
          <w:bCs/>
          <w:sz w:val="24"/>
          <w:szCs w:val="24"/>
        </w:rPr>
        <w:t>tivo próprio que pode requerer ajustes.</w:t>
      </w:r>
    </w:p>
    <w:p w14:paraId="182752F6" w14:textId="17CDBD29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37F2FE76" w14:textId="77777777" w:rsidTr="00190974">
        <w:tc>
          <w:tcPr>
            <w:tcW w:w="10450" w:type="dxa"/>
          </w:tcPr>
          <w:p w14:paraId="49B4247E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DF20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90EF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1783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CBA3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C1E41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18F22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FE4A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4F4D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8C545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A0828" w14:textId="33F14937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Questão 13 –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Há 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necessidade de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acordos/convênios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para o 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uso de instalações / API ’s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? Se sim, relacionar.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00EC70" w14:textId="4C25C6D4" w:rsidR="00E72CF1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C1CE3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para acesso direto a sistemas de outros órgãos é necessário um convênio/acordo. </w:t>
      </w:r>
      <w:r w:rsidR="00FC1CE3">
        <w:rPr>
          <w:rFonts w:ascii="Times New Roman" w:hAnsi="Times New Roman" w:cs="Times New Roman"/>
          <w:bCs/>
          <w:sz w:val="24"/>
          <w:szCs w:val="24"/>
        </w:rPr>
        <w:t xml:space="preserve">2-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Pode ser necessário </w:t>
      </w:r>
      <w:r w:rsidR="00E72CF1" w:rsidRPr="00AB46B8">
        <w:rPr>
          <w:rFonts w:ascii="Times New Roman" w:hAnsi="Times New Roman" w:cs="Times New Roman"/>
          <w:bCs/>
          <w:sz w:val="24"/>
          <w:szCs w:val="24"/>
        </w:rPr>
        <w:t>convênio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 para que os tribunais disponibilizem centros de utilização de </w:t>
      </w:r>
      <w:r w:rsidR="00FC1CE3">
        <w:rPr>
          <w:rFonts w:ascii="Times New Roman" w:hAnsi="Times New Roman" w:cs="Times New Roman"/>
          <w:bCs/>
          <w:sz w:val="24"/>
          <w:szCs w:val="24"/>
        </w:rPr>
        <w:t>computadores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 para acesso ao sistema do STJ, o que poderia atenuar a exclusão digital</w:t>
      </w:r>
      <w:r w:rsidR="00E72C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A65C6B" w14:textId="06C8FE66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>acesso aos sistemas dos tribunais de origem para consulta processual com acesso às peças dos autos</w:t>
      </w:r>
      <w:r w:rsidR="00E72C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72082B" w14:textId="56E4B65C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3D696BE5" w14:textId="77777777" w:rsidTr="00190974">
        <w:tc>
          <w:tcPr>
            <w:tcW w:w="10450" w:type="dxa"/>
          </w:tcPr>
          <w:p w14:paraId="354D5BC4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4139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0B70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09889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993C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B67FE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42E8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08AA3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34636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D07C9" w14:textId="60497FAA" w:rsidR="00E72CF1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395FD" w14:textId="4A8E0711" w:rsidR="00FC1CE3" w:rsidRDefault="00FC1CE3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1F044" w14:textId="77777777" w:rsidR="00FC1CE3" w:rsidRPr="00AB46B8" w:rsidRDefault="00FC1CE3" w:rsidP="00E7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B4767" w14:textId="5F203EC5" w:rsidR="00A410D5" w:rsidRPr="00AB46B8" w:rsidRDefault="009D67C7" w:rsidP="002D14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Questão 14 – </w:t>
      </w:r>
      <w:r w:rsidR="00D90489" w:rsidRPr="00AB46B8">
        <w:rPr>
          <w:rFonts w:ascii="Times New Roman" w:hAnsi="Times New Roman" w:cs="Times New Roman"/>
          <w:b/>
          <w:bCs/>
          <w:sz w:val="24"/>
          <w:szCs w:val="24"/>
        </w:rPr>
        <w:t>Você v</w:t>
      </w:r>
      <w:r w:rsidR="00A410D5" w:rsidRPr="00AB46B8">
        <w:rPr>
          <w:rFonts w:ascii="Times New Roman" w:hAnsi="Times New Roman" w:cs="Times New Roman"/>
          <w:b/>
          <w:bCs/>
          <w:sz w:val="24"/>
          <w:szCs w:val="24"/>
        </w:rPr>
        <w:t>isualiza novos serviços do STJ para a sociedade ou para o público interno? (listar sugestões - indicando a unidade/área de aplicação)</w:t>
      </w:r>
    </w:p>
    <w:p w14:paraId="4ABC2EB3" w14:textId="77777777" w:rsidR="00E72CF1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Observação: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>Na sua percepção, que serviços adicionais o STJ poderia disponibilizar em canais digitais, para melhorar o seu relacionamento com a sociedade?</w:t>
      </w:r>
    </w:p>
    <w:p w14:paraId="0FE30BCB" w14:textId="3651680F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>Exemplo:</w:t>
      </w:r>
      <w:r w:rsidR="0016018B"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>Consulta em app</w:t>
      </w:r>
      <w:r w:rsidR="00A901DA" w:rsidRPr="00AB46B8">
        <w:rPr>
          <w:rFonts w:ascii="Times New Roman" w:hAnsi="Times New Roman" w:cs="Times New Roman"/>
          <w:bCs/>
          <w:sz w:val="24"/>
          <w:szCs w:val="24"/>
        </w:rPr>
        <w:t xml:space="preserve"> (ou no site) sobre o entendimento do STJ a respeito de questões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do dia a dia </w:t>
      </w:r>
      <w:r w:rsidR="00A901DA" w:rsidRPr="00AB46B8">
        <w:rPr>
          <w:rFonts w:ascii="Times New Roman" w:hAnsi="Times New Roman" w:cs="Times New Roman"/>
          <w:bCs/>
          <w:sz w:val="24"/>
          <w:szCs w:val="24"/>
        </w:rPr>
        <w:t>do cidadão</w:t>
      </w:r>
      <w:r w:rsidR="00FC1CE3">
        <w:rPr>
          <w:rFonts w:ascii="Times New Roman" w:hAnsi="Times New Roman" w:cs="Times New Roman"/>
          <w:bCs/>
          <w:sz w:val="24"/>
          <w:szCs w:val="24"/>
        </w:rPr>
        <w:t xml:space="preserve">, tais como 1 -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tempo de atendimento em filas bancarias, </w:t>
      </w:r>
      <w:r w:rsidR="00FC1CE3">
        <w:rPr>
          <w:rFonts w:ascii="Times New Roman" w:hAnsi="Times New Roman" w:cs="Times New Roman"/>
          <w:bCs/>
          <w:sz w:val="24"/>
          <w:szCs w:val="24"/>
        </w:rPr>
        <w:t xml:space="preserve">2- </w:t>
      </w:r>
      <w:r w:rsidR="0016018B" w:rsidRPr="00AB46B8">
        <w:rPr>
          <w:rFonts w:ascii="Times New Roman" w:hAnsi="Times New Roman" w:cs="Times New Roman"/>
          <w:bCs/>
          <w:sz w:val="24"/>
          <w:szCs w:val="24"/>
        </w:rPr>
        <w:t xml:space="preserve">cobrança indevida de faturas telefônicas e outros. </w:t>
      </w:r>
    </w:p>
    <w:p w14:paraId="2FCD2A96" w14:textId="49E36B1A" w:rsidR="00BB3479" w:rsidRPr="00AB46B8" w:rsidRDefault="00BB3479" w:rsidP="002D1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6B8">
        <w:rPr>
          <w:rFonts w:ascii="Times New Roman" w:hAnsi="Times New Roman" w:cs="Times New Roman"/>
          <w:b/>
          <w:bCs/>
          <w:sz w:val="24"/>
          <w:szCs w:val="24"/>
        </w:rPr>
        <w:t xml:space="preserve">Espaço para </w:t>
      </w:r>
      <w:r w:rsidR="00ED7522">
        <w:rPr>
          <w:rFonts w:ascii="Times New Roman" w:hAnsi="Times New Roman" w:cs="Times New Roman"/>
          <w:b/>
          <w:bCs/>
          <w:sz w:val="24"/>
          <w:szCs w:val="24"/>
        </w:rPr>
        <w:t>resposta</w:t>
      </w:r>
      <w:r w:rsidRPr="00AB46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D4345E" w14:textId="77777777" w:rsidR="00E72CF1" w:rsidRPr="00AB46B8" w:rsidRDefault="00E72CF1" w:rsidP="00E7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E72CF1" w14:paraId="792BF997" w14:textId="77777777" w:rsidTr="00190974">
        <w:tc>
          <w:tcPr>
            <w:tcW w:w="10450" w:type="dxa"/>
          </w:tcPr>
          <w:p w14:paraId="52E9E585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0451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91EE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5710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CE78A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7419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AA30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ADBBC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B581" w14:textId="77777777" w:rsidR="00E72CF1" w:rsidRDefault="00E72CF1" w:rsidP="00190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49D6D" w14:textId="28B05614" w:rsidR="00046C6A" w:rsidRPr="00AB46B8" w:rsidRDefault="00046C6A" w:rsidP="00E7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C6A" w:rsidRPr="00AB46B8" w:rsidSect="00E72CF1">
      <w:headerReference w:type="default" r:id="rId9"/>
      <w:pgSz w:w="11900" w:h="16840"/>
      <w:pgMar w:top="2410" w:right="720" w:bottom="720" w:left="720" w:header="708" w:footer="492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C703" w14:textId="77777777" w:rsidR="00E93AB6" w:rsidRDefault="00E93AB6">
      <w:pPr>
        <w:spacing w:after="0"/>
      </w:pPr>
      <w:r>
        <w:separator/>
      </w:r>
    </w:p>
  </w:endnote>
  <w:endnote w:type="continuationSeparator" w:id="0">
    <w:p w14:paraId="6C0D4685" w14:textId="77777777" w:rsidR="00E93AB6" w:rsidRDefault="00E93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EA3E5" w14:textId="77777777" w:rsidR="00E93AB6" w:rsidRDefault="00E93AB6">
      <w:pPr>
        <w:spacing w:after="0"/>
      </w:pPr>
      <w:r>
        <w:separator/>
      </w:r>
    </w:p>
  </w:footnote>
  <w:footnote w:type="continuationSeparator" w:id="0">
    <w:p w14:paraId="6E42B23C" w14:textId="77777777" w:rsidR="00E93AB6" w:rsidRDefault="00E93A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C38E" w14:textId="31765D64" w:rsidR="00384D92" w:rsidRPr="00E72CF1" w:rsidRDefault="00703D80" w:rsidP="00384D92">
    <w:pPr>
      <w:pStyle w:val="Cabealho"/>
      <w:jc w:val="center"/>
      <w:rPr>
        <w:sz w:val="22"/>
        <w:szCs w:val="22"/>
      </w:rPr>
    </w:pPr>
    <w:r w:rsidRPr="00E72CF1">
      <w:rPr>
        <w:noProof/>
        <w:sz w:val="22"/>
        <w:szCs w:val="22"/>
        <w:lang w:eastAsia="pt-BR"/>
      </w:rPr>
      <w:drawing>
        <wp:inline distT="0" distB="0" distL="0" distR="0" wp14:anchorId="5AB4F64B" wp14:editId="6B5990A8">
          <wp:extent cx="2066290" cy="379426"/>
          <wp:effectExtent l="0" t="0" r="0" b="1905"/>
          <wp:docPr id="2" name="Imagem 2" descr="J:\COMM\Programacao_Visual\identidade_visual_STJ\_MARCA_atualizada_2017\em RGB\imagens\marca_stj_cor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\Programacao_Visual\identidade_visual_STJ\_MARCA_atualizada_2017\em RGB\imagens\marca_stj_cor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076" cy="40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75E3B" w14:textId="572E8A84" w:rsidR="00A410D5" w:rsidRPr="00E72CF1" w:rsidRDefault="00F76676" w:rsidP="00E72CF1">
    <w:pPr>
      <w:spacing w:before="60" w:after="0" w:line="240" w:lineRule="auto"/>
      <w:jc w:val="center"/>
      <w:rPr>
        <w:rFonts w:ascii="Times New Roman" w:hAnsi="Times New Roman" w:cs="Times New Roman"/>
        <w:b/>
        <w:bCs/>
        <w:color w:val="C00000"/>
        <w:sz w:val="28"/>
        <w:szCs w:val="28"/>
      </w:rPr>
    </w:pPr>
    <w:r w:rsidRPr="00E72CF1">
      <w:rPr>
        <w:rFonts w:ascii="Times New Roman" w:hAnsi="Times New Roman" w:cs="Times New Roman"/>
        <w:b/>
        <w:bCs/>
        <w:color w:val="C00000"/>
        <w:sz w:val="28"/>
        <w:szCs w:val="28"/>
      </w:rPr>
      <w:t>PLANO DE TRANSFORMAÇÃO DIGITAL DO STJ</w:t>
    </w:r>
  </w:p>
  <w:p w14:paraId="2F84D22E" w14:textId="08BCF85C" w:rsidR="001360F2" w:rsidRPr="00E72CF1" w:rsidRDefault="001360F2" w:rsidP="00E72CF1">
    <w:pPr>
      <w:spacing w:before="60" w:after="0" w:line="240" w:lineRule="auto"/>
      <w:jc w:val="center"/>
      <w:rPr>
        <w:rFonts w:ascii="Times New Roman" w:hAnsi="Times New Roman" w:cs="Times New Roman"/>
        <w:color w:val="225787" w:themeColor="accent6" w:themeShade="BF"/>
        <w:sz w:val="12"/>
        <w:szCs w:val="12"/>
      </w:rPr>
    </w:pPr>
    <w:r w:rsidRPr="00E72CF1">
      <w:rPr>
        <w:rFonts w:ascii="Times New Roman" w:hAnsi="Times New Roman" w:cs="Times New Roman"/>
        <w:b/>
        <w:bCs/>
        <w:color w:val="225787" w:themeColor="accent6" w:themeShade="BF"/>
        <w:sz w:val="22"/>
        <w:szCs w:val="22"/>
      </w:rPr>
      <w:t>LEVANTAMENTO DE AÇÕES DE TRANSFORMAÇÃO DIGITAL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50A"/>
    <w:multiLevelType w:val="hybridMultilevel"/>
    <w:tmpl w:val="1BD2C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46CB4"/>
    <w:multiLevelType w:val="hybridMultilevel"/>
    <w:tmpl w:val="F49EDF2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BC32BE"/>
    <w:multiLevelType w:val="hybridMultilevel"/>
    <w:tmpl w:val="B88A29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E66F5"/>
    <w:multiLevelType w:val="hybridMultilevel"/>
    <w:tmpl w:val="05444A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0B1082"/>
    <w:multiLevelType w:val="hybridMultilevel"/>
    <w:tmpl w:val="13AAADC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92"/>
    <w:rsid w:val="0004446D"/>
    <w:rsid w:val="00046C6A"/>
    <w:rsid w:val="000E2EE8"/>
    <w:rsid w:val="001360F2"/>
    <w:rsid w:val="0016018B"/>
    <w:rsid w:val="002D14B7"/>
    <w:rsid w:val="00345CD6"/>
    <w:rsid w:val="00384D92"/>
    <w:rsid w:val="00393990"/>
    <w:rsid w:val="004F3660"/>
    <w:rsid w:val="005A37AB"/>
    <w:rsid w:val="00635C56"/>
    <w:rsid w:val="00646B75"/>
    <w:rsid w:val="00703D80"/>
    <w:rsid w:val="00722295"/>
    <w:rsid w:val="00767FC2"/>
    <w:rsid w:val="007A04E0"/>
    <w:rsid w:val="007A73E8"/>
    <w:rsid w:val="00801744"/>
    <w:rsid w:val="008A6CEC"/>
    <w:rsid w:val="008E13FD"/>
    <w:rsid w:val="009214B1"/>
    <w:rsid w:val="0093522D"/>
    <w:rsid w:val="00941CF9"/>
    <w:rsid w:val="009714B3"/>
    <w:rsid w:val="009D67C7"/>
    <w:rsid w:val="00A410D5"/>
    <w:rsid w:val="00A664D0"/>
    <w:rsid w:val="00A901DA"/>
    <w:rsid w:val="00AB46B8"/>
    <w:rsid w:val="00B60182"/>
    <w:rsid w:val="00BB3479"/>
    <w:rsid w:val="00C04ECF"/>
    <w:rsid w:val="00CB037A"/>
    <w:rsid w:val="00D168FA"/>
    <w:rsid w:val="00D44E6E"/>
    <w:rsid w:val="00D75CC2"/>
    <w:rsid w:val="00D90489"/>
    <w:rsid w:val="00E252D6"/>
    <w:rsid w:val="00E37630"/>
    <w:rsid w:val="00E478DC"/>
    <w:rsid w:val="00E72CF1"/>
    <w:rsid w:val="00E93AB6"/>
    <w:rsid w:val="00ED7522"/>
    <w:rsid w:val="00F52195"/>
    <w:rsid w:val="00F76676"/>
    <w:rsid w:val="00F83F70"/>
    <w:rsid w:val="00FA05A0"/>
    <w:rsid w:val="00FC1CE3"/>
    <w:rsid w:val="00FE4B75"/>
    <w:rsid w:val="00FF26EC"/>
    <w:rsid w:val="00FF3B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4F10F"/>
  <w15:docId w15:val="{FE8FDFBB-222D-41DB-88A4-A55A7ED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E8"/>
  </w:style>
  <w:style w:type="paragraph" w:styleId="Ttulo1">
    <w:name w:val="heading 1"/>
    <w:basedOn w:val="Normal"/>
    <w:next w:val="Normal"/>
    <w:link w:val="Ttulo1Char"/>
    <w:uiPriority w:val="9"/>
    <w:qFormat/>
    <w:rsid w:val="007A73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225787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3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225787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3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225787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73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2E75B5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73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E75B5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73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E75B5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73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E75B5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3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E75B5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3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E75B5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D92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84D92"/>
  </w:style>
  <w:style w:type="paragraph" w:styleId="Rodap">
    <w:name w:val="footer"/>
    <w:basedOn w:val="Normal"/>
    <w:link w:val="RodapChar"/>
    <w:uiPriority w:val="99"/>
    <w:unhideWhenUsed/>
    <w:rsid w:val="00384D92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84D92"/>
  </w:style>
  <w:style w:type="character" w:styleId="Hyperlink">
    <w:name w:val="Hyperlink"/>
    <w:basedOn w:val="Fontepargpadro"/>
    <w:uiPriority w:val="99"/>
    <w:unhideWhenUsed/>
    <w:rsid w:val="009214B1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A73E8"/>
    <w:rPr>
      <w:rFonts w:asciiTheme="majorHAnsi" w:eastAsiaTheme="majorEastAsia" w:hAnsiTheme="majorHAnsi" w:cstheme="majorBidi"/>
      <w:color w:val="225787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A73E8"/>
    <w:rPr>
      <w:rFonts w:asciiTheme="majorHAnsi" w:eastAsiaTheme="majorEastAsia" w:hAnsiTheme="majorHAnsi" w:cstheme="majorBidi"/>
      <w:color w:val="225787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3E8"/>
    <w:rPr>
      <w:rFonts w:asciiTheme="majorHAnsi" w:eastAsiaTheme="majorEastAsia" w:hAnsiTheme="majorHAnsi" w:cstheme="majorBidi"/>
      <w:color w:val="225787" w:themeColor="accent6" w:themeShade="B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A73E8"/>
    <w:pPr>
      <w:spacing w:after="120"/>
      <w:ind w:firstLine="720"/>
      <w:jc w:val="both"/>
    </w:pPr>
  </w:style>
  <w:style w:type="character" w:customStyle="1" w:styleId="Ttulo4Char">
    <w:name w:val="Título 4 Char"/>
    <w:basedOn w:val="Fontepargpadro"/>
    <w:link w:val="Ttulo4"/>
    <w:uiPriority w:val="9"/>
    <w:semiHidden/>
    <w:rsid w:val="007A73E8"/>
    <w:rPr>
      <w:rFonts w:asciiTheme="majorHAnsi" w:eastAsiaTheme="majorEastAsia" w:hAnsiTheme="majorHAnsi" w:cstheme="majorBidi"/>
      <w:color w:val="2E75B5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73E8"/>
    <w:rPr>
      <w:rFonts w:asciiTheme="majorHAnsi" w:eastAsiaTheme="majorEastAsia" w:hAnsiTheme="majorHAnsi" w:cstheme="majorBidi"/>
      <w:i/>
      <w:iCs/>
      <w:color w:val="2E75B5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73E8"/>
    <w:rPr>
      <w:rFonts w:asciiTheme="majorHAnsi" w:eastAsiaTheme="majorEastAsia" w:hAnsiTheme="majorHAnsi" w:cstheme="majorBidi"/>
      <w:color w:val="2E75B5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73E8"/>
    <w:rPr>
      <w:rFonts w:asciiTheme="majorHAnsi" w:eastAsiaTheme="majorEastAsia" w:hAnsiTheme="majorHAnsi" w:cstheme="majorBidi"/>
      <w:b/>
      <w:bCs/>
      <w:color w:val="2E75B5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3E8"/>
    <w:rPr>
      <w:rFonts w:asciiTheme="majorHAnsi" w:eastAsiaTheme="majorEastAsia" w:hAnsiTheme="majorHAnsi" w:cstheme="majorBidi"/>
      <w:b/>
      <w:bCs/>
      <w:i/>
      <w:iCs/>
      <w:color w:val="2E75B5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3E8"/>
    <w:rPr>
      <w:rFonts w:asciiTheme="majorHAnsi" w:eastAsiaTheme="majorEastAsia" w:hAnsiTheme="majorHAnsi" w:cstheme="majorBidi"/>
      <w:i/>
      <w:iCs/>
      <w:color w:val="2E75B5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A73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7A73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7A73E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3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7A73E8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7A73E8"/>
    <w:rPr>
      <w:b/>
      <w:bCs/>
    </w:rPr>
  </w:style>
  <w:style w:type="character" w:styleId="nfase">
    <w:name w:val="Emphasis"/>
    <w:basedOn w:val="Fontepargpadro"/>
    <w:uiPriority w:val="20"/>
    <w:qFormat/>
    <w:rsid w:val="007A73E8"/>
    <w:rPr>
      <w:i/>
      <w:iCs/>
      <w:color w:val="2E75B5" w:themeColor="accent6"/>
    </w:rPr>
  </w:style>
  <w:style w:type="paragraph" w:styleId="SemEspaamento">
    <w:name w:val="No Spacing"/>
    <w:uiPriority w:val="1"/>
    <w:qFormat/>
    <w:rsid w:val="007A73E8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A73E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7A73E8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3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2E75B5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3E8"/>
    <w:rPr>
      <w:rFonts w:asciiTheme="majorHAnsi" w:eastAsiaTheme="majorEastAsia" w:hAnsiTheme="majorHAnsi" w:cstheme="majorBidi"/>
      <w:i/>
      <w:iCs/>
      <w:color w:val="2E75B5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7A73E8"/>
    <w:rPr>
      <w:i/>
      <w:iCs/>
    </w:rPr>
  </w:style>
  <w:style w:type="character" w:styleId="nfaseIntensa">
    <w:name w:val="Intense Emphasis"/>
    <w:basedOn w:val="Fontepargpadro"/>
    <w:uiPriority w:val="21"/>
    <w:qFormat/>
    <w:rsid w:val="007A73E8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A73E8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7A73E8"/>
    <w:rPr>
      <w:b/>
      <w:bCs/>
      <w:smallCaps/>
      <w:color w:val="2E75B5" w:themeColor="accent6"/>
    </w:rPr>
  </w:style>
  <w:style w:type="character" w:styleId="TtulodoLivro">
    <w:name w:val="Book Title"/>
    <w:basedOn w:val="Fontepargpadro"/>
    <w:uiPriority w:val="33"/>
    <w:qFormat/>
    <w:rsid w:val="007A73E8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3E8"/>
    <w:pPr>
      <w:outlineLvl w:val="9"/>
    </w:pPr>
  </w:style>
  <w:style w:type="table" w:styleId="Tabelacomgrade">
    <w:name w:val="Table Grid"/>
    <w:basedOn w:val="Tabelanormal"/>
    <w:uiPriority w:val="59"/>
    <w:rsid w:val="00A4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912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aoestrategica@stj.jus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Quadro">
  <a:themeElements>
    <a:clrScheme name="STJ">
      <a:dk1>
        <a:sysClr val="windowText" lastClr="000000"/>
      </a:dk1>
      <a:lt1>
        <a:sysClr val="window" lastClr="FFFFFF"/>
      </a:lt1>
      <a:dk2>
        <a:srgbClr val="004064"/>
      </a:dk2>
      <a:lt2>
        <a:srgbClr val="C7D5E2"/>
      </a:lt2>
      <a:accent1>
        <a:srgbClr val="004064"/>
      </a:accent1>
      <a:accent2>
        <a:srgbClr val="60879F"/>
      </a:accent2>
      <a:accent3>
        <a:srgbClr val="A5A5A5"/>
      </a:accent3>
      <a:accent4>
        <a:srgbClr val="ADB9CA"/>
      </a:accent4>
      <a:accent5>
        <a:srgbClr val="8496B0"/>
      </a:accent5>
      <a:accent6>
        <a:srgbClr val="2E75B5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Quadr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60F2-55FF-4AC7-828F-272A893C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975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NavVar Lira</dc:creator>
  <cp:keywords/>
  <cp:lastModifiedBy>Montgomery Wellington Muniz</cp:lastModifiedBy>
  <cp:revision>4</cp:revision>
  <dcterms:created xsi:type="dcterms:W3CDTF">2021-09-21T18:23:00Z</dcterms:created>
  <dcterms:modified xsi:type="dcterms:W3CDTF">2021-09-21T18:40:00Z</dcterms:modified>
</cp:coreProperties>
</file>